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7F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bookmarkStart w:id="0" w:name="_GoBack"/>
      <w:bookmarkEnd w:id="0"/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COISTE CHONTAE THÍR EOGHAIN</w:t>
      </w:r>
    </w:p>
    <w:p w:rsidR="00B0157F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:rsidR="00B0157F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Coiste Cultúir agus Teanga</w:t>
      </w:r>
    </w:p>
    <w:p w:rsidR="00B0157F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:rsidR="00B0157F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:rsidR="00B0157F" w:rsidRPr="006B56C4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b/>
          <w:color w:val="333333"/>
          <w:sz w:val="32"/>
          <w:szCs w:val="32"/>
          <w:u w:val="single"/>
          <w:lang w:eastAsia="en-GB"/>
        </w:rPr>
      </w:pPr>
      <w:r w:rsidRPr="006B56C4">
        <w:rPr>
          <w:rFonts w:ascii="OpenSans-webfont" w:eastAsia="Times New Roman" w:hAnsi="OpenSans-webfont" w:cs="Times New Roman"/>
          <w:b/>
          <w:color w:val="FF0000"/>
          <w:sz w:val="32"/>
          <w:szCs w:val="32"/>
          <w:u w:val="single"/>
          <w:lang w:eastAsia="en-GB"/>
        </w:rPr>
        <w:t>Important amendments to rules relating to Scór Competitions</w:t>
      </w:r>
    </w:p>
    <w:p w:rsidR="00B0157F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:rsidR="00B0157F" w:rsidRDefault="00B0157F" w:rsidP="00B0157F">
      <w:pPr>
        <w:spacing w:after="0" w:line="240" w:lineRule="auto"/>
        <w:jc w:val="center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These changes will take effect for this year’s competitions and all competitions for the next three years</w:t>
      </w:r>
    </w:p>
    <w:p w:rsid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:rsid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</w:p>
    <w:p w:rsidR="00B0157F" w:rsidRP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Minor changes were made to rules in all competitions. However, the more significant changes to the new enclosed rules were as follows:</w:t>
      </w:r>
    </w:p>
    <w:p w:rsidR="00B0157F" w:rsidRP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 </w:t>
      </w:r>
    </w:p>
    <w:p w:rsidR="00B0157F" w:rsidRPr="00B0157F" w:rsidRDefault="00B0157F" w:rsidP="00B01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 xml:space="preserve">That the Léiriú Stáitse competition name be changed back to its previous name – </w:t>
      </w:r>
      <w:proofErr w:type="spellStart"/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Nuachleas</w:t>
      </w:r>
      <w:proofErr w:type="spellEnd"/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;</w:t>
      </w:r>
    </w:p>
    <w:p w:rsidR="00B0157F" w:rsidRPr="00B0157F" w:rsidRDefault="00B0157F" w:rsidP="00B01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That the latter rounds of the Tráth na gCeist for the top three teams (plus ties) be r</w:t>
      </w:r>
      <w:r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u</w:t>
      </w: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n off on stage along with the other competitions;</w:t>
      </w:r>
    </w:p>
    <w:p w:rsidR="00B0157F" w:rsidRPr="00B0157F" w:rsidRDefault="00B0157F" w:rsidP="00B01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That competitors in the Amhránaíocht Aonair be permitted accompaniment by fellow club mates, of the appropriate age group;</w:t>
      </w:r>
    </w:p>
    <w:p w:rsidR="00B0157F" w:rsidRPr="00B0157F" w:rsidRDefault="00B0157F" w:rsidP="00B01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That up to two over 16 competitors eligible for Rince Seit and Rince Foirne in Scór na nÓg be permitted to take part in Scór Sinsir;</w:t>
      </w:r>
    </w:p>
    <w:p w:rsidR="00B0157F" w:rsidRPr="00B0157F" w:rsidRDefault="00B0157F" w:rsidP="00B015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That under eligibility, amalgamations be permitted as follows;</w:t>
      </w:r>
    </w:p>
    <w:p w:rsidR="00B0157F" w:rsidRP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 </w:t>
      </w:r>
    </w:p>
    <w:p w:rsidR="00B0157F" w:rsidRPr="00B0157F" w:rsidRDefault="00B0157F" w:rsidP="00B0157F">
      <w:pPr>
        <w:spacing w:after="0" w:line="240" w:lineRule="auto"/>
        <w:ind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‘’(vi) Combinations of two or more clubs permitted by County Board for the purposes of playing underage football/hurling shall be allowed enter Scór na nÓg competition under the name of the Combination, subject to the approval of County Board.</w:t>
      </w:r>
    </w:p>
    <w:p w:rsidR="00B0157F" w:rsidRPr="00B0157F" w:rsidRDefault="00B0157F" w:rsidP="00B0157F">
      <w:pPr>
        <w:spacing w:after="0" w:line="240" w:lineRule="auto"/>
        <w:ind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 </w:t>
      </w:r>
    </w:p>
    <w:p w:rsidR="00B0157F" w:rsidRPr="00B0157F" w:rsidRDefault="00B0157F" w:rsidP="00B0157F">
      <w:pPr>
        <w:spacing w:after="0" w:line="240" w:lineRule="auto"/>
        <w:ind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(vii) A club within the Combination retains the right to enter </w:t>
      </w:r>
      <w:proofErr w:type="gramStart"/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competitions in their own right</w:t>
      </w:r>
      <w:proofErr w:type="gramEnd"/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. However, if they do, members of teams and/or individuals who represent the club, may not also represent the Combination.</w:t>
      </w:r>
    </w:p>
    <w:p w:rsidR="00B0157F" w:rsidRPr="00B0157F" w:rsidRDefault="00B0157F" w:rsidP="00B0157F">
      <w:pPr>
        <w:spacing w:after="0" w:line="240" w:lineRule="auto"/>
        <w:ind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 </w:t>
      </w:r>
    </w:p>
    <w:p w:rsidR="00B0157F" w:rsidRPr="00B0157F" w:rsidRDefault="00B0157F" w:rsidP="00B0157F">
      <w:pPr>
        <w:spacing w:after="0" w:line="240" w:lineRule="auto"/>
        <w:ind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(viii) Combinations as listed above must operate for all underage levels of club activity. A combination at a single age level does not entitle entry to Scór na nÓg,</w:t>
      </w:r>
    </w:p>
    <w:p w:rsidR="00B0157F" w:rsidRPr="00B0157F" w:rsidRDefault="00B0157F" w:rsidP="00B0157F">
      <w:pPr>
        <w:spacing w:after="0" w:line="240" w:lineRule="auto"/>
        <w:ind w:left="1800"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 </w:t>
      </w:r>
    </w:p>
    <w:p w:rsidR="00B0157F" w:rsidRPr="00B0157F" w:rsidRDefault="00B0157F" w:rsidP="00B0157F">
      <w:pPr>
        <w:spacing w:after="0" w:line="240" w:lineRule="auto"/>
        <w:ind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(ix) A Combination may not be formed solely for the purposes of Scór participation.’’</w:t>
      </w:r>
    </w:p>
    <w:p w:rsidR="00B0157F" w:rsidRPr="00B0157F" w:rsidRDefault="00B0157F" w:rsidP="00B0157F">
      <w:pPr>
        <w:spacing w:after="0" w:line="240" w:lineRule="auto"/>
        <w:ind w:right="20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  <w:t> </w:t>
      </w:r>
    </w:p>
    <w:p w:rsidR="00B0157F" w:rsidRPr="00B0157F" w:rsidRDefault="00B0157F" w:rsidP="00B015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That three adjudicators be required for provincial and national finals as follows:</w:t>
      </w:r>
    </w:p>
    <w:p w:rsidR="00B0157F" w:rsidRP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:rsidR="00B0157F" w:rsidRP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(a)  At Provincial and All-Ireland level three Adjudicators will judge each discipline. They will apportion 12, 5, and 2, marks respectively to those they place in First, Second and Third places in each competition.</w:t>
      </w:r>
    </w:p>
    <w:p w:rsidR="00B0157F" w:rsidRP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(b)  The Committee shall nominate one Adjudicator by lot as Master Adjudicator in each competition and in the event of a tie on the aggregate of marks awarded the marks of the Master Adjudicator will decide the outcome between those tied.de</w:t>
      </w:r>
    </w:p>
    <w:p w:rsidR="00B0157F" w:rsidRPr="00B0157F" w:rsidRDefault="00B0157F" w:rsidP="00B0157F">
      <w:pPr>
        <w:spacing w:after="0" w:line="240" w:lineRule="auto"/>
        <w:rPr>
          <w:rFonts w:ascii="OpenSans-webfont" w:eastAsia="Times New Roman" w:hAnsi="OpenSans-webfont" w:cs="Times New Roman"/>
          <w:color w:val="333333"/>
          <w:sz w:val="24"/>
          <w:szCs w:val="24"/>
          <w:lang w:eastAsia="en-GB"/>
        </w:rPr>
      </w:pPr>
      <w:r w:rsidRPr="00B0157F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(c) The identity of the Master Adjudicator will be known only to the Organising Committee.</w:t>
      </w:r>
    </w:p>
    <w:p w:rsidR="00B0157F" w:rsidRDefault="00B0157F"/>
    <w:sectPr w:rsidR="00B0157F" w:rsidSect="002346EB">
      <w:pgSz w:w="11906" w:h="16838"/>
      <w:pgMar w:top="1440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946F7"/>
    <w:multiLevelType w:val="multilevel"/>
    <w:tmpl w:val="8288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787D28"/>
    <w:multiLevelType w:val="multilevel"/>
    <w:tmpl w:val="8BE4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57F"/>
    <w:rsid w:val="002346EB"/>
    <w:rsid w:val="006B56C4"/>
    <w:rsid w:val="00B0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42095-1A9D-4283-900F-6F888FE5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Magee</dc:creator>
  <cp:keywords/>
  <dc:description/>
  <cp:lastModifiedBy>Donal Magee</cp:lastModifiedBy>
  <cp:revision>5</cp:revision>
  <dcterms:created xsi:type="dcterms:W3CDTF">2019-09-24T08:07:00Z</dcterms:created>
  <dcterms:modified xsi:type="dcterms:W3CDTF">2019-09-24T08:14:00Z</dcterms:modified>
</cp:coreProperties>
</file>